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C73018" w14:paraId="21A0A922" w14:textId="77777777">
        <w:trPr>
          <w:hidden/>
        </w:trPr>
        <w:tc>
          <w:tcPr>
            <w:tcW w:w="0" w:type="auto"/>
            <w:shd w:val="clear" w:color="auto" w:fill="FFFFFF"/>
            <w:vAlign w:val="center"/>
          </w:tcPr>
          <w:tbl>
            <w:tblPr>
              <w:tblW w:w="0" w:type="auto"/>
              <w:jc w:val="center"/>
              <w:tblCellMar>
                <w:left w:w="0" w:type="dxa"/>
                <w:right w:w="0" w:type="dxa"/>
              </w:tblCellMar>
              <w:tblLook w:val="04A0" w:firstRow="1" w:lastRow="0" w:firstColumn="1" w:lastColumn="0" w:noHBand="0" w:noVBand="1"/>
            </w:tblPr>
            <w:tblGrid>
              <w:gridCol w:w="4200"/>
              <w:gridCol w:w="4200"/>
            </w:tblGrid>
            <w:tr w:rsidR="00C73018" w14:paraId="40915F05" w14:textId="77777777">
              <w:trPr>
                <w:jc w:val="center"/>
                <w:hidden/>
              </w:trPr>
              <w:tc>
                <w:tcPr>
                  <w:tcW w:w="4200" w:type="dxa"/>
                  <w:tcMar>
                    <w:top w:w="0" w:type="dxa"/>
                    <w:left w:w="0" w:type="dxa"/>
                    <w:bottom w:w="120" w:type="dxa"/>
                    <w:right w:w="0" w:type="dxa"/>
                  </w:tcMar>
                  <w:hideMark/>
                </w:tcPr>
                <w:p w14:paraId="7758475B" w14:textId="77777777" w:rsidR="00C73018" w:rsidRDefault="00C73018">
                  <w:pPr>
                    <w:spacing w:line="285" w:lineRule="atLeast"/>
                    <w:rPr>
                      <w:rFonts w:ascii="Open Sans" w:eastAsia="Times New Roman" w:hAnsi="Open Sans" w:cs="Open Sans"/>
                      <w:vanish/>
                      <w:color w:val="999999"/>
                      <w:sz w:val="2"/>
                      <w:szCs w:val="2"/>
                    </w:rPr>
                  </w:pP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r>
                    <w:rPr>
                      <w:rFonts w:ascii="Open Sans" w:eastAsia="Times New Roman" w:hAnsi="Open Sans" w:cs="Open Sans"/>
                      <w:vanish/>
                      <w:color w:val="999999"/>
                      <w:sz w:val="2"/>
                      <w:szCs w:val="2"/>
                    </w:rPr>
                    <w:t xml:space="preserve"> </w:t>
                  </w:r>
                  <w:r>
                    <w:rPr>
                      <w:rFonts w:ascii="Arial" w:eastAsia="Times New Roman" w:hAnsi="Arial" w:cs="Arial"/>
                      <w:vanish/>
                      <w:color w:val="999999"/>
                      <w:sz w:val="2"/>
                      <w:szCs w:val="2"/>
                    </w:rPr>
                    <w:t>‌</w:t>
                  </w:r>
                </w:p>
              </w:tc>
              <w:tc>
                <w:tcPr>
                  <w:tcW w:w="4200" w:type="dxa"/>
                  <w:tcMar>
                    <w:top w:w="0" w:type="dxa"/>
                    <w:left w:w="0" w:type="dxa"/>
                    <w:bottom w:w="120" w:type="dxa"/>
                    <w:right w:w="0" w:type="dxa"/>
                  </w:tcMar>
                  <w:hideMark/>
                </w:tcPr>
                <w:p w14:paraId="10B666C5" w14:textId="55E3A975" w:rsidR="00C73018" w:rsidRDefault="00C73018">
                  <w:pPr>
                    <w:pStyle w:val="NormalWeb"/>
                    <w:spacing w:before="0" w:beforeAutospacing="0" w:after="0" w:afterAutospacing="0" w:line="285" w:lineRule="atLeast"/>
                    <w:jc w:val="right"/>
                    <w:rPr>
                      <w:rFonts w:ascii="Open Sans" w:hAnsi="Open Sans" w:cs="Open Sans"/>
                      <w:color w:val="999999"/>
                      <w:sz w:val="18"/>
                      <w:szCs w:val="18"/>
                    </w:rPr>
                  </w:pPr>
                  <w:r>
                    <w:rPr>
                      <w:rFonts w:ascii="Open Sans" w:hAnsi="Open Sans" w:cs="Open Sans"/>
                      <w:color w:val="999999"/>
                      <w:sz w:val="18"/>
                      <w:szCs w:val="18"/>
                    </w:rPr>
                    <w:t>19 February 2026</w:t>
                  </w:r>
                </w:p>
              </w:tc>
            </w:tr>
          </w:tbl>
          <w:p w14:paraId="23F71949" w14:textId="77777777" w:rsidR="00C73018" w:rsidRDefault="00C73018">
            <w:pPr>
              <w:jc w:val="center"/>
              <w:rPr>
                <w:rFonts w:ascii="Times New Roman" w:eastAsia="Times New Roman" w:hAnsi="Times New Roman" w:cs="Times New Roman"/>
                <w:vanish/>
                <w:sz w:val="20"/>
                <w:szCs w:val="20"/>
              </w:rPr>
            </w:pPr>
          </w:p>
          <w:tbl>
            <w:tblPr>
              <w:tblW w:w="0" w:type="auto"/>
              <w:jc w:val="center"/>
              <w:tblCellMar>
                <w:left w:w="0" w:type="dxa"/>
                <w:right w:w="0" w:type="dxa"/>
              </w:tblCellMar>
              <w:tblLook w:val="04A0" w:firstRow="1" w:lastRow="0" w:firstColumn="1" w:lastColumn="0" w:noHBand="0" w:noVBand="1"/>
            </w:tblPr>
            <w:tblGrid>
              <w:gridCol w:w="3000"/>
              <w:gridCol w:w="6000"/>
            </w:tblGrid>
            <w:tr w:rsidR="00C73018" w14:paraId="6854703F" w14:textId="77777777">
              <w:trPr>
                <w:jc w:val="center"/>
              </w:trPr>
              <w:tc>
                <w:tcPr>
                  <w:tcW w:w="3000" w:type="dxa"/>
                  <w:shd w:val="clear" w:color="auto" w:fill="FFFFFF"/>
                  <w:hideMark/>
                </w:tcPr>
                <w:p w14:paraId="5991D086" w14:textId="32C569FB" w:rsidR="00C73018" w:rsidRDefault="00C73018">
                  <w:pPr>
                    <w:spacing w:line="285" w:lineRule="atLeast"/>
                    <w:jc w:val="center"/>
                    <w:rPr>
                      <w:rFonts w:ascii="Open Sans" w:eastAsia="Times New Roman" w:hAnsi="Open Sans" w:cs="Open Sans"/>
                      <w:color w:val="717A8A"/>
                      <w:sz w:val="18"/>
                      <w:szCs w:val="18"/>
                    </w:rPr>
                  </w:pPr>
                  <w:r>
                    <w:rPr>
                      <w:rStyle w:val="Hyperlink"/>
                      <w:rFonts w:ascii="Open Sans" w:eastAsia="Times New Roman" w:hAnsi="Open Sans" w:cs="Open Sans"/>
                      <w:noProof/>
                      <w:color w:val="007A3E"/>
                      <w:sz w:val="18"/>
                      <w:szCs w:val="18"/>
                    </w:rPr>
                    <w:drawing>
                      <wp:inline distT="0" distB="0" distL="0" distR="0" wp14:anchorId="4F01F32A" wp14:editId="6F1925A0">
                        <wp:extent cx="1082040" cy="1249680"/>
                        <wp:effectExtent l="0" t="0" r="3810" b="7620"/>
                        <wp:docPr id="1589285126" name="Picture 9" descr="TMBC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B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2040" cy="1249680"/>
                                </a:xfrm>
                                <a:prstGeom prst="rect">
                                  <a:avLst/>
                                </a:prstGeom>
                                <a:noFill/>
                                <a:ln>
                                  <a:noFill/>
                                </a:ln>
                              </pic:spPr>
                            </pic:pic>
                          </a:graphicData>
                        </a:graphic>
                      </wp:inline>
                    </w:drawing>
                  </w:r>
                </w:p>
              </w:tc>
              <w:tc>
                <w:tcPr>
                  <w:tcW w:w="6000" w:type="dxa"/>
                  <w:shd w:val="clear" w:color="auto" w:fill="FFFFFF"/>
                  <w:hideMark/>
                </w:tcPr>
                <w:p w14:paraId="49F977B3" w14:textId="77777777" w:rsidR="00C73018" w:rsidRDefault="00C73018">
                  <w:pPr>
                    <w:spacing w:line="540" w:lineRule="exact"/>
                    <w:textAlignment w:val="center"/>
                    <w:outlineLvl w:val="1"/>
                    <w:rPr>
                      <w:rFonts w:ascii="Open Sans" w:eastAsia="Times New Roman" w:hAnsi="Open Sans" w:cs="Open Sans"/>
                      <w:color w:val="3D3B3D"/>
                      <w:kern w:val="36"/>
                      <w:position w:val="20"/>
                      <w:sz w:val="42"/>
                      <w:szCs w:val="42"/>
                    </w:rPr>
                  </w:pPr>
                  <w:r>
                    <w:rPr>
                      <w:rFonts w:ascii="Open Sans" w:eastAsia="Times New Roman" w:hAnsi="Open Sans" w:cs="Open Sans"/>
                      <w:color w:val="3D3B3D"/>
                      <w:kern w:val="36"/>
                      <w:position w:val="20"/>
                      <w:sz w:val="42"/>
                      <w:szCs w:val="42"/>
                    </w:rPr>
                    <w:t>Newsletter special</w:t>
                  </w:r>
                </w:p>
                <w:p w14:paraId="0271F1C3" w14:textId="77777777" w:rsidR="00C73018" w:rsidRDefault="00C73018">
                  <w:pPr>
                    <w:spacing w:before="300" w:line="540" w:lineRule="exact"/>
                    <w:textAlignment w:val="center"/>
                    <w:outlineLvl w:val="1"/>
                    <w:rPr>
                      <w:rFonts w:ascii="Open Sans" w:eastAsia="Times New Roman" w:hAnsi="Open Sans" w:cs="Open Sans"/>
                      <w:color w:val="3D3B3D"/>
                      <w:kern w:val="36"/>
                      <w:position w:val="20"/>
                      <w:sz w:val="42"/>
                      <w:szCs w:val="42"/>
                    </w:rPr>
                  </w:pPr>
                  <w:r>
                    <w:rPr>
                      <w:rFonts w:ascii="Open Sans" w:eastAsia="Times New Roman" w:hAnsi="Open Sans" w:cs="Open Sans"/>
                      <w:color w:val="3D3B3D"/>
                      <w:kern w:val="36"/>
                      <w:position w:val="20"/>
                      <w:sz w:val="42"/>
                      <w:szCs w:val="42"/>
                    </w:rPr>
                    <w:t>February 2026</w:t>
                  </w:r>
                </w:p>
              </w:tc>
            </w:tr>
          </w:tbl>
          <w:p w14:paraId="0A6319C1" w14:textId="77777777" w:rsidR="00C73018" w:rsidRDefault="00C73018">
            <w:pPr>
              <w:shd w:val="clear" w:color="auto" w:fill="FFFFFF"/>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9000"/>
            </w:tblGrid>
            <w:tr w:rsidR="00C73018" w14:paraId="1CBE71F2" w14:textId="77777777">
              <w:trPr>
                <w:jc w:val="center"/>
              </w:trPr>
              <w:tc>
                <w:tcPr>
                  <w:tcW w:w="9000" w:type="dxa"/>
                  <w:shd w:val="clear" w:color="auto" w:fill="FFFFFF"/>
                  <w:vAlign w:val="center"/>
                  <w:hideMark/>
                </w:tcPr>
                <w:p w14:paraId="16DFA4B5" w14:textId="164D068A" w:rsidR="00C73018" w:rsidRDefault="00C73018">
                  <w:pPr>
                    <w:spacing w:line="285" w:lineRule="atLeast"/>
                    <w:jc w:val="center"/>
                    <w:rPr>
                      <w:rFonts w:ascii="Open Sans" w:eastAsia="Times New Roman" w:hAnsi="Open Sans" w:cs="Open Sans"/>
                      <w:color w:val="717A8A"/>
                      <w:sz w:val="18"/>
                      <w:szCs w:val="18"/>
                    </w:rPr>
                  </w:pPr>
                  <w:r>
                    <w:rPr>
                      <w:rFonts w:ascii="Open Sans" w:eastAsia="Times New Roman" w:hAnsi="Open Sans" w:cs="Open Sans"/>
                      <w:noProof/>
                      <w:color w:val="717A8A"/>
                      <w:sz w:val="18"/>
                      <w:szCs w:val="18"/>
                    </w:rPr>
                    <w:drawing>
                      <wp:inline distT="0" distB="0" distL="0" distR="0" wp14:anchorId="18DA802E" wp14:editId="46E9E6EE">
                        <wp:extent cx="5715000" cy="3169920"/>
                        <wp:effectExtent l="0" t="0" r="0" b="0"/>
                        <wp:docPr id="1062580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169920"/>
                                </a:xfrm>
                                <a:prstGeom prst="rect">
                                  <a:avLst/>
                                </a:prstGeom>
                                <a:noFill/>
                                <a:ln>
                                  <a:noFill/>
                                </a:ln>
                              </pic:spPr>
                            </pic:pic>
                          </a:graphicData>
                        </a:graphic>
                      </wp:inline>
                    </w:drawing>
                  </w:r>
                </w:p>
              </w:tc>
            </w:tr>
          </w:tbl>
          <w:p w14:paraId="5126219C" w14:textId="77777777" w:rsidR="00C73018" w:rsidRDefault="00C73018">
            <w:pPr>
              <w:spacing w:line="300" w:lineRule="exact"/>
              <w:rPr>
                <w:rFonts w:eastAsia="Times New Roman"/>
                <w:sz w:val="30"/>
                <w:szCs w:val="30"/>
              </w:rPr>
            </w:pPr>
            <w:r>
              <w:rPr>
                <w:rFonts w:eastAsia="Times New Roman"/>
                <w:sz w:val="30"/>
                <w:szCs w:val="30"/>
              </w:rPr>
              <w:t> </w:t>
            </w:r>
          </w:p>
          <w:tbl>
            <w:tblPr>
              <w:tblW w:w="0" w:type="auto"/>
              <w:jc w:val="center"/>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13"/>
              <w:gridCol w:w="9000"/>
              <w:gridCol w:w="13"/>
            </w:tblGrid>
            <w:tr w:rsidR="00C73018" w14:paraId="21E48BD9" w14:textId="77777777">
              <w:trPr>
                <w:jc w:val="center"/>
              </w:trPr>
              <w:tc>
                <w:tcPr>
                  <w:tcW w:w="15" w:type="dxa"/>
                  <w:tcBorders>
                    <w:top w:val="single" w:sz="6" w:space="0" w:color="CCCCCC"/>
                    <w:left w:val="nil"/>
                    <w:bottom w:val="single" w:sz="6" w:space="0" w:color="CCCCCC"/>
                    <w:right w:val="nil"/>
                  </w:tcBorders>
                  <w:shd w:val="clear" w:color="auto" w:fill="CCCCCC"/>
                  <w:vAlign w:val="center"/>
                  <w:hideMark/>
                </w:tcPr>
                <w:p w14:paraId="3EE44F90" w14:textId="77777777" w:rsidR="00C73018" w:rsidRDefault="00C73018">
                  <w:pPr>
                    <w:rPr>
                      <w:rFonts w:eastAsia="Times New Roman"/>
                    </w:rPr>
                  </w:pPr>
                  <w:r>
                    <w:rPr>
                      <w:rFonts w:ascii="Arial" w:eastAsia="Times New Roman" w:hAnsi="Arial" w:cs="Arial"/>
                    </w:rPr>
                    <w:t>​</w:t>
                  </w:r>
                </w:p>
              </w:tc>
              <w:tc>
                <w:tcPr>
                  <w:tcW w:w="9000" w:type="dxa"/>
                  <w:tcBorders>
                    <w:top w:val="single" w:sz="6" w:space="0" w:color="CCCCCC"/>
                    <w:left w:val="nil"/>
                    <w:bottom w:val="single" w:sz="6" w:space="0" w:color="CCCCCC"/>
                    <w:right w:val="nil"/>
                  </w:tcBorders>
                  <w:shd w:val="clear" w:color="auto" w:fill="FFFFFF"/>
                  <w:vAlign w:val="center"/>
                  <w:hideMark/>
                </w:tcPr>
                <w:p w14:paraId="57CD24BF" w14:textId="77777777" w:rsidR="00C73018" w:rsidRDefault="00C73018">
                  <w:pPr>
                    <w:spacing w:after="240" w:line="510" w:lineRule="exact"/>
                    <w:textAlignment w:val="center"/>
                    <w:outlineLvl w:val="2"/>
                    <w:rPr>
                      <w:rFonts w:ascii="Open Sans" w:eastAsia="Times New Roman" w:hAnsi="Open Sans" w:cs="Open Sans"/>
                      <w:color w:val="3D3B3D"/>
                      <w:position w:val="17"/>
                      <w:sz w:val="39"/>
                      <w:szCs w:val="39"/>
                    </w:rPr>
                  </w:pPr>
                  <w:r>
                    <w:rPr>
                      <w:rStyle w:val="Strong"/>
                      <w:rFonts w:ascii="Open Sans" w:eastAsia="Times New Roman" w:hAnsi="Open Sans" w:cs="Open Sans"/>
                      <w:color w:val="3D3B3D"/>
                      <w:position w:val="17"/>
                      <w:sz w:val="39"/>
                      <w:szCs w:val="39"/>
                    </w:rPr>
                    <w:t>Make your voice heard: The future of local councils</w:t>
                  </w:r>
                </w:p>
                <w:p w14:paraId="7407A0A1" w14:textId="77777777" w:rsidR="00C73018" w:rsidRDefault="00C73018">
                  <w:pPr>
                    <w:pStyle w:val="NormalWeb"/>
                    <w:spacing w:before="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Residents, businesses and community organisations across Kent and Medway are invited to take part in an important consultation on the future of local councils.</w:t>
                  </w:r>
                </w:p>
                <w:p w14:paraId="63AA3A3F"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The Government has launched the consultation as part of Local Government Reorganisation - the biggest proposed change to how councils are structured in around 50 years.</w:t>
                  </w:r>
                </w:p>
                <w:p w14:paraId="1489632C"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Style w:val="Strong"/>
                      <w:rFonts w:ascii="Open Sans" w:hAnsi="Open Sans" w:cs="Open Sans"/>
                      <w:color w:val="717A8A"/>
                      <w:position w:val="17"/>
                    </w:rPr>
                    <w:t>What is Local Government Reorganisation (LGR)?</w:t>
                  </w:r>
                </w:p>
                <w:p w14:paraId="75AE521E"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proofErr w:type="gramStart"/>
                  <w:r>
                    <w:rPr>
                      <w:rFonts w:ascii="Open Sans" w:hAnsi="Open Sans" w:cs="Open Sans"/>
                      <w:color w:val="717A8A"/>
                      <w:position w:val="17"/>
                    </w:rPr>
                    <w:t>At the moment</w:t>
                  </w:r>
                  <w:proofErr w:type="gramEnd"/>
                  <w:r>
                    <w:rPr>
                      <w:rFonts w:ascii="Open Sans" w:hAnsi="Open Sans" w:cs="Open Sans"/>
                      <w:color w:val="717A8A"/>
                      <w:position w:val="17"/>
                    </w:rPr>
                    <w:t xml:space="preserve">, different councils are responsible for different services. For example, Kent County Council provides services such as education, social care and highways, while borough councils like Tonbridge and Malling deliver </w:t>
                  </w:r>
                  <w:r>
                    <w:rPr>
                      <w:rFonts w:ascii="Open Sans" w:hAnsi="Open Sans" w:cs="Open Sans"/>
                      <w:color w:val="717A8A"/>
                      <w:position w:val="17"/>
                    </w:rPr>
                    <w:lastRenderedPageBreak/>
                    <w:t>services including waste collections and recycling, planning, housing and leisure services.</w:t>
                  </w:r>
                </w:p>
                <w:p w14:paraId="3B913F83"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Under the proposed changes, a smaller number of unitary councils would each deliver all local services within their area - bringing everything together in a simpler, more joined-up way.</w:t>
                  </w:r>
                </w:p>
                <w:p w14:paraId="4E3E4CBF"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Style w:val="Strong"/>
                      <w:rFonts w:ascii="Open Sans" w:hAnsi="Open Sans" w:cs="Open Sans"/>
                      <w:color w:val="717A8A"/>
                      <w:position w:val="17"/>
                    </w:rPr>
                    <w:t>Our preferred option</w:t>
                  </w:r>
                </w:p>
                <w:p w14:paraId="47131227"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 xml:space="preserve">The consultation invites views on the five options for LGR that were submitted by councils across Kent and Medway before Christmas.  This includes the three unitary </w:t>
                  </w:r>
                  <w:proofErr w:type="gramStart"/>
                  <w:r>
                    <w:rPr>
                      <w:rFonts w:ascii="Open Sans" w:hAnsi="Open Sans" w:cs="Open Sans"/>
                      <w:color w:val="717A8A"/>
                      <w:position w:val="17"/>
                    </w:rPr>
                    <w:t>option</w:t>
                  </w:r>
                  <w:proofErr w:type="gramEnd"/>
                  <w:r>
                    <w:rPr>
                      <w:rFonts w:ascii="Open Sans" w:hAnsi="Open Sans" w:cs="Open Sans"/>
                      <w:color w:val="717A8A"/>
                      <w:position w:val="17"/>
                    </w:rPr>
                    <w:t xml:space="preserve"> known as Model 3a, supported by the greatest number of councils, namely Tonbridge and Malling, Tunbridge Wells, Sevenoaks, Maidstone and Folkestone &amp; Hythe councils.   </w:t>
                  </w:r>
                </w:p>
                <w:p w14:paraId="41AC490B"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 xml:space="preserve">Model 3a would see existing councils in Kent come together into three unitary areas, made up of Tonbridge and Malling, Sevenoaks, Maidstone and Tunbridge Wells in the </w:t>
                  </w:r>
                  <w:proofErr w:type="gramStart"/>
                  <w:r>
                    <w:rPr>
                      <w:rFonts w:ascii="Open Sans" w:hAnsi="Open Sans" w:cs="Open Sans"/>
                      <w:color w:val="717A8A"/>
                      <w:position w:val="17"/>
                    </w:rPr>
                    <w:t>west;</w:t>
                  </w:r>
                  <w:proofErr w:type="gramEnd"/>
                  <w:r>
                    <w:rPr>
                      <w:rFonts w:ascii="Open Sans" w:hAnsi="Open Sans" w:cs="Open Sans"/>
                      <w:color w:val="717A8A"/>
                      <w:position w:val="17"/>
                    </w:rPr>
                    <w:t xml:space="preserve"> Dartford, Gravesham, Medway and Swale in the north and Ashford, Canterbury, Thanet, Dover and Folkestone &amp; Hythe in the east.</w:t>
                  </w:r>
                </w:p>
                <w:p w14:paraId="097B13E6"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Style w:val="Strong"/>
                      <w:rFonts w:ascii="Open Sans" w:hAnsi="Open Sans" w:cs="Open Sans"/>
                      <w:color w:val="717A8A"/>
                      <w:position w:val="17"/>
                    </w:rPr>
                    <w:t>Big enough to make a difference, small enough to care</w:t>
                  </w:r>
                </w:p>
                <w:p w14:paraId="51B71D6B"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 xml:space="preserve">Looking at the evidence, </w:t>
                  </w:r>
                  <w:proofErr w:type="gramStart"/>
                  <w:r>
                    <w:rPr>
                      <w:rFonts w:ascii="Open Sans" w:hAnsi="Open Sans" w:cs="Open Sans"/>
                      <w:color w:val="717A8A"/>
                      <w:position w:val="17"/>
                    </w:rPr>
                    <w:t>it is clear that this</w:t>
                  </w:r>
                  <w:proofErr w:type="gramEnd"/>
                  <w:r>
                    <w:rPr>
                      <w:rFonts w:ascii="Open Sans" w:hAnsi="Open Sans" w:cs="Open Sans"/>
                      <w:color w:val="717A8A"/>
                      <w:position w:val="17"/>
                    </w:rPr>
                    <w:t xml:space="preserve"> model offers the best outcomes for local people in terms of:</w:t>
                  </w:r>
                </w:p>
                <w:p w14:paraId="78F07AEB" w14:textId="77777777" w:rsidR="00C73018" w:rsidRDefault="00C73018" w:rsidP="00BB7235">
                  <w:pPr>
                    <w:numPr>
                      <w:ilvl w:val="0"/>
                      <w:numId w:val="1"/>
                    </w:numPr>
                    <w:spacing w:before="300" w:line="360" w:lineRule="atLeast"/>
                    <w:ind w:left="1080"/>
                    <w:textAlignment w:val="center"/>
                    <w:rPr>
                      <w:rFonts w:ascii="Open Sans" w:eastAsia="Times New Roman" w:hAnsi="Open Sans" w:cs="Open Sans"/>
                      <w:color w:val="717A8A"/>
                      <w:position w:val="17"/>
                    </w:rPr>
                  </w:pPr>
                  <w:r>
                    <w:rPr>
                      <w:rFonts w:ascii="Open Sans" w:eastAsia="Times New Roman" w:hAnsi="Open Sans" w:cs="Open Sans"/>
                      <w:color w:val="717A8A"/>
                      <w:position w:val="17"/>
                    </w:rPr>
                    <w:t>Respect for established identities</w:t>
                  </w:r>
                </w:p>
                <w:p w14:paraId="3CA87C89" w14:textId="77777777" w:rsidR="00C73018" w:rsidRDefault="00C73018" w:rsidP="00BB7235">
                  <w:pPr>
                    <w:numPr>
                      <w:ilvl w:val="0"/>
                      <w:numId w:val="1"/>
                    </w:numPr>
                    <w:spacing w:line="360" w:lineRule="atLeast"/>
                    <w:ind w:left="1080"/>
                    <w:textAlignment w:val="center"/>
                    <w:rPr>
                      <w:rFonts w:ascii="Open Sans" w:eastAsia="Times New Roman" w:hAnsi="Open Sans" w:cs="Open Sans"/>
                      <w:color w:val="717A8A"/>
                      <w:position w:val="17"/>
                    </w:rPr>
                  </w:pPr>
                  <w:r>
                    <w:rPr>
                      <w:rFonts w:ascii="Open Sans" w:eastAsia="Times New Roman" w:hAnsi="Open Sans" w:cs="Open Sans"/>
                      <w:color w:val="717A8A"/>
                      <w:position w:val="17"/>
                    </w:rPr>
                    <w:t xml:space="preserve">High-quality, joined-up services that are accountable to </w:t>
                  </w:r>
                  <w:proofErr w:type="gramStart"/>
                  <w:r>
                    <w:rPr>
                      <w:rFonts w:ascii="Open Sans" w:eastAsia="Times New Roman" w:hAnsi="Open Sans" w:cs="Open Sans"/>
                      <w:color w:val="717A8A"/>
                      <w:position w:val="17"/>
                    </w:rPr>
                    <w:t>local residents</w:t>
                  </w:r>
                  <w:proofErr w:type="gramEnd"/>
                </w:p>
                <w:p w14:paraId="26BE74A7" w14:textId="77777777" w:rsidR="00C73018" w:rsidRDefault="00C73018" w:rsidP="00BB7235">
                  <w:pPr>
                    <w:numPr>
                      <w:ilvl w:val="0"/>
                      <w:numId w:val="1"/>
                    </w:numPr>
                    <w:spacing w:line="360" w:lineRule="atLeast"/>
                    <w:ind w:left="1080"/>
                    <w:textAlignment w:val="center"/>
                    <w:rPr>
                      <w:rFonts w:ascii="Open Sans" w:eastAsia="Times New Roman" w:hAnsi="Open Sans" w:cs="Open Sans"/>
                      <w:color w:val="717A8A"/>
                      <w:position w:val="17"/>
                    </w:rPr>
                  </w:pPr>
                  <w:r>
                    <w:rPr>
                      <w:rFonts w:ascii="Open Sans" w:eastAsia="Times New Roman" w:hAnsi="Open Sans" w:cs="Open Sans"/>
                      <w:color w:val="717A8A"/>
                      <w:position w:val="17"/>
                    </w:rPr>
                    <w:t>Better value for money</w:t>
                  </w:r>
                </w:p>
                <w:p w14:paraId="738DFF2F"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 xml:space="preserve">Some other models have been put forward for how councils in Kent could be organised in the </w:t>
                  </w:r>
                  <w:proofErr w:type="gramStart"/>
                  <w:r>
                    <w:rPr>
                      <w:rFonts w:ascii="Open Sans" w:hAnsi="Open Sans" w:cs="Open Sans"/>
                      <w:color w:val="717A8A"/>
                      <w:position w:val="17"/>
                    </w:rPr>
                    <w:t>future</w:t>
                  </w:r>
                  <w:proofErr w:type="gramEnd"/>
                  <w:r>
                    <w:rPr>
                      <w:rFonts w:ascii="Open Sans" w:hAnsi="Open Sans" w:cs="Open Sans"/>
                      <w:color w:val="717A8A"/>
                      <w:position w:val="17"/>
                    </w:rPr>
                    <w:t xml:space="preserve"> but these do not offer the same package of benefits. Government is consulting on all proposals before any decisions are made. </w:t>
                  </w:r>
                </w:p>
                <w:p w14:paraId="2983AA15"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Style w:val="Strong"/>
                      <w:rFonts w:ascii="Open Sans" w:hAnsi="Open Sans" w:cs="Open Sans"/>
                      <w:color w:val="717A8A"/>
                      <w:position w:val="17"/>
                    </w:rPr>
                    <w:t>Why your voice matters</w:t>
                  </w:r>
                </w:p>
                <w:p w14:paraId="3B20B2C8"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Your feedback will help Government understand what matters most to people locally.</w:t>
                  </w:r>
                </w:p>
                <w:p w14:paraId="7077839C"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Leader of Tonbridge and Malling Borough Council, Councillor Matt Boughton, says:</w:t>
                  </w:r>
                </w:p>
                <w:p w14:paraId="3400F986"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lastRenderedPageBreak/>
                    <w:t>“This consultation is an important opportunity for you to help shape how local services are delivered for years to come. Option 3a has clear benefits over the other models proposed. Please do share your thoughts and have your say on how you want council services delivered in the future”</w:t>
                  </w:r>
                </w:p>
                <w:p w14:paraId="24715B47"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Style w:val="Strong"/>
                      <w:rFonts w:ascii="Open Sans" w:hAnsi="Open Sans" w:cs="Open Sans"/>
                      <w:color w:val="717A8A"/>
                      <w:position w:val="17"/>
                    </w:rPr>
                    <w:t>What happens next?</w:t>
                  </w:r>
                </w:p>
                <w:p w14:paraId="2BC78537" w14:textId="77777777" w:rsidR="00C73018" w:rsidRDefault="00C73018" w:rsidP="00BB7235">
                  <w:pPr>
                    <w:numPr>
                      <w:ilvl w:val="0"/>
                      <w:numId w:val="2"/>
                    </w:numPr>
                    <w:spacing w:before="300" w:line="360" w:lineRule="atLeast"/>
                    <w:ind w:left="1080"/>
                    <w:textAlignment w:val="center"/>
                    <w:rPr>
                      <w:rFonts w:ascii="Open Sans" w:eastAsia="Times New Roman" w:hAnsi="Open Sans" w:cs="Open Sans"/>
                      <w:color w:val="717A8A"/>
                      <w:position w:val="17"/>
                    </w:rPr>
                  </w:pPr>
                  <w:r>
                    <w:rPr>
                      <w:rFonts w:ascii="Open Sans" w:eastAsia="Times New Roman" w:hAnsi="Open Sans" w:cs="Open Sans"/>
                      <w:color w:val="717A8A"/>
                      <w:position w:val="17"/>
                    </w:rPr>
                    <w:t>February – March 2026: Consultation period</w:t>
                  </w:r>
                </w:p>
                <w:p w14:paraId="204E6154" w14:textId="77777777" w:rsidR="00C73018" w:rsidRDefault="00C73018" w:rsidP="00BB7235">
                  <w:pPr>
                    <w:numPr>
                      <w:ilvl w:val="0"/>
                      <w:numId w:val="2"/>
                    </w:numPr>
                    <w:spacing w:line="360" w:lineRule="atLeast"/>
                    <w:ind w:left="1080"/>
                    <w:textAlignment w:val="center"/>
                    <w:rPr>
                      <w:rFonts w:ascii="Open Sans" w:eastAsia="Times New Roman" w:hAnsi="Open Sans" w:cs="Open Sans"/>
                      <w:color w:val="717A8A"/>
                      <w:position w:val="17"/>
                    </w:rPr>
                  </w:pPr>
                  <w:r>
                    <w:rPr>
                      <w:rFonts w:ascii="Open Sans" w:eastAsia="Times New Roman" w:hAnsi="Open Sans" w:cs="Open Sans"/>
                      <w:color w:val="717A8A"/>
                      <w:position w:val="17"/>
                    </w:rPr>
                    <w:t>Summer 2026: Government decision expected</w:t>
                  </w:r>
                </w:p>
                <w:p w14:paraId="79F89EE4" w14:textId="77777777" w:rsidR="00C73018" w:rsidRDefault="00C73018" w:rsidP="00BB7235">
                  <w:pPr>
                    <w:numPr>
                      <w:ilvl w:val="0"/>
                      <w:numId w:val="2"/>
                    </w:numPr>
                    <w:spacing w:line="360" w:lineRule="atLeast"/>
                    <w:ind w:left="1080"/>
                    <w:textAlignment w:val="center"/>
                    <w:rPr>
                      <w:rFonts w:ascii="Open Sans" w:eastAsia="Times New Roman" w:hAnsi="Open Sans" w:cs="Open Sans"/>
                      <w:color w:val="717A8A"/>
                      <w:position w:val="17"/>
                    </w:rPr>
                  </w:pPr>
                  <w:r>
                    <w:rPr>
                      <w:rFonts w:ascii="Open Sans" w:eastAsia="Times New Roman" w:hAnsi="Open Sans" w:cs="Open Sans"/>
                      <w:color w:val="717A8A"/>
                      <w:position w:val="17"/>
                    </w:rPr>
                    <w:t>May 2027: Elections for new councils</w:t>
                  </w:r>
                </w:p>
                <w:p w14:paraId="51F486B1" w14:textId="77777777" w:rsidR="00C73018" w:rsidRDefault="00C73018" w:rsidP="00BB7235">
                  <w:pPr>
                    <w:numPr>
                      <w:ilvl w:val="0"/>
                      <w:numId w:val="2"/>
                    </w:numPr>
                    <w:spacing w:line="360" w:lineRule="atLeast"/>
                    <w:ind w:left="1080"/>
                    <w:textAlignment w:val="center"/>
                    <w:rPr>
                      <w:rFonts w:ascii="Open Sans" w:eastAsia="Times New Roman" w:hAnsi="Open Sans" w:cs="Open Sans"/>
                      <w:color w:val="717A8A"/>
                      <w:position w:val="17"/>
                    </w:rPr>
                  </w:pPr>
                  <w:r>
                    <w:rPr>
                      <w:rFonts w:ascii="Open Sans" w:eastAsia="Times New Roman" w:hAnsi="Open Sans" w:cs="Open Sans"/>
                      <w:color w:val="717A8A"/>
                      <w:position w:val="17"/>
                    </w:rPr>
                    <w:t>April 2028: New councils begin operating</w:t>
                  </w:r>
                </w:p>
                <w:p w14:paraId="2CE00380"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The timeline below shows how the process will move forwards, ensuring local people have a say before any decisions are taken.</w:t>
                  </w:r>
                </w:p>
                <w:p w14:paraId="28F31F1E"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Style w:val="Strong"/>
                      <w:rFonts w:ascii="Open Sans" w:hAnsi="Open Sans" w:cs="Open Sans"/>
                      <w:color w:val="717A8A"/>
                      <w:position w:val="17"/>
                    </w:rPr>
                    <w:t>Have your say</w:t>
                  </w:r>
                </w:p>
                <w:p w14:paraId="11FD7EAB"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We encourage everyone to spare a few minutes to take part in the consultation. By sharing your views, you will help shape the future of local services in Tonbridge and Malling.</w:t>
                  </w:r>
                </w:p>
                <w:p w14:paraId="44F12583"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Fonts w:ascii="Open Sans" w:hAnsi="Open Sans" w:cs="Open Sans"/>
                      <w:color w:val="717A8A"/>
                      <w:position w:val="17"/>
                    </w:rPr>
                    <w:t>The consultation is open now and closes on Thursday 26 March 2026.</w:t>
                  </w:r>
                </w:p>
                <w:p w14:paraId="7238DFB0" w14:textId="77777777" w:rsidR="00C73018" w:rsidRDefault="00C73018">
                  <w:pPr>
                    <w:pStyle w:val="NormalWeb"/>
                    <w:spacing w:before="300" w:beforeAutospacing="0" w:after="0" w:afterAutospacing="0" w:line="360" w:lineRule="atLeast"/>
                    <w:textAlignment w:val="center"/>
                    <w:rPr>
                      <w:rFonts w:ascii="Open Sans" w:hAnsi="Open Sans" w:cs="Open Sans"/>
                      <w:color w:val="717A8A"/>
                      <w:position w:val="17"/>
                    </w:rPr>
                  </w:pPr>
                  <w:r>
                    <w:rPr>
                      <w:rStyle w:val="Strong"/>
                      <w:rFonts w:ascii="Open Sans" w:hAnsi="Open Sans" w:cs="Open Sans"/>
                      <w:color w:val="717A8A"/>
                      <w:position w:val="17"/>
                    </w:rPr>
                    <w:t>Option 3A.   Big enough to make a difference, small enough to care</w:t>
                  </w:r>
                </w:p>
                <w:p w14:paraId="0AEA5F9F" w14:textId="77777777" w:rsidR="00C73018" w:rsidRDefault="00C73018">
                  <w:pPr>
                    <w:pStyle w:val="NormalWeb"/>
                    <w:spacing w:before="300" w:beforeAutospacing="0" w:after="300" w:afterAutospacing="0" w:line="360" w:lineRule="atLeast"/>
                    <w:textAlignment w:val="center"/>
                    <w:rPr>
                      <w:rFonts w:ascii="Open Sans" w:hAnsi="Open Sans" w:cs="Open Sans"/>
                      <w:color w:val="717A8A"/>
                      <w:position w:val="17"/>
                    </w:rPr>
                  </w:pPr>
                  <w:r>
                    <w:rPr>
                      <w:rFonts w:ascii="Open Sans" w:hAnsi="Open Sans" w:cs="Open Sans"/>
                      <w:color w:val="717A8A"/>
                      <w:position w:val="17"/>
                    </w:rPr>
                    <w:t> </w:t>
                  </w:r>
                </w:p>
                <w:p w14:paraId="5C6313D4" w14:textId="76620BCC" w:rsidR="00C73018" w:rsidRDefault="00C73018">
                  <w:pPr>
                    <w:spacing w:line="285" w:lineRule="atLeast"/>
                    <w:jc w:val="center"/>
                    <w:rPr>
                      <w:rFonts w:ascii="Open Sans" w:eastAsia="Times New Roman" w:hAnsi="Open Sans" w:cs="Open Sans"/>
                      <w:color w:val="717A8A"/>
                      <w:sz w:val="18"/>
                      <w:szCs w:val="18"/>
                    </w:rPr>
                  </w:pPr>
                  <w:r>
                    <w:rPr>
                      <w:rFonts w:ascii="Open Sans" w:eastAsia="Times New Roman" w:hAnsi="Open Sans" w:cs="Open Sans"/>
                      <w:noProof/>
                      <w:color w:val="717A8A"/>
                      <w:sz w:val="18"/>
                      <w:szCs w:val="18"/>
                    </w:rPr>
                    <w:drawing>
                      <wp:inline distT="0" distB="0" distL="0" distR="0" wp14:anchorId="11742A19" wp14:editId="78A53EAB">
                        <wp:extent cx="5715000" cy="1905000"/>
                        <wp:effectExtent l="0" t="0" r="0" b="0"/>
                        <wp:docPr id="1076876632" name="Picture 7" descr="A graphic with an orange background shows a sticker on a wheelie bin which says No Food In Here P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ic with an orange background shows a sticker on a wheelie bin which says No Food In Here Ple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5FFC8747" w14:textId="77777777" w:rsidR="00C73018" w:rsidRDefault="00C73018">
                  <w:pPr>
                    <w:spacing w:line="240" w:lineRule="exact"/>
                    <w:rPr>
                      <w:rFonts w:ascii="Open Sans" w:eastAsia="Times New Roman" w:hAnsi="Open Sans" w:cs="Open Sans"/>
                      <w:color w:val="717A8A"/>
                      <w:sz w:val="2"/>
                      <w:szCs w:val="2"/>
                    </w:rPr>
                  </w:pPr>
                  <w:r>
                    <w:rPr>
                      <w:rFonts w:ascii="Open Sans" w:eastAsia="Times New Roman" w:hAnsi="Open Sans" w:cs="Open Sans"/>
                      <w:color w:val="717A8A"/>
                      <w:sz w:val="2"/>
                      <w:szCs w:val="2"/>
                    </w:rPr>
                    <w:t> </w:t>
                  </w:r>
                </w:p>
                <w:p w14:paraId="75DE91C5" w14:textId="77777777" w:rsidR="00C73018" w:rsidRDefault="00C73018">
                  <w:pPr>
                    <w:pStyle w:val="NormalWeb"/>
                    <w:spacing w:before="0" w:beforeAutospacing="0" w:after="0" w:afterAutospacing="0" w:line="0" w:lineRule="auto"/>
                    <w:rPr>
                      <w:rFonts w:ascii="Open Sans" w:hAnsi="Open Sans" w:cs="Open Sans"/>
                      <w:color w:val="717A8A"/>
                    </w:rPr>
                  </w:pPr>
                  <w:r>
                    <w:rPr>
                      <w:rFonts w:ascii="Open Sans" w:hAnsi="Open Sans" w:cs="Open Sans"/>
                      <w:color w:val="717A8A"/>
                    </w:rPr>
                    <w:t> </w:t>
                  </w:r>
                </w:p>
                <w:p w14:paraId="54D9E4BB" w14:textId="141CF6A8" w:rsidR="00C73018" w:rsidRDefault="00C73018" w:rsidP="00C73018">
                  <w:pPr>
                    <w:spacing w:line="360" w:lineRule="atLeast"/>
                    <w:rPr>
                      <w:rFonts w:ascii="Open Sans" w:eastAsia="Times New Roman" w:hAnsi="Open Sans" w:cs="Open Sans"/>
                      <w:color w:val="717A8A"/>
                      <w:sz w:val="2"/>
                      <w:szCs w:val="2"/>
                    </w:rPr>
                  </w:pPr>
                  <w:r>
                    <w:rPr>
                      <w:rFonts w:ascii="Open Sans" w:eastAsia="Times New Roman" w:hAnsi="Open Sans" w:cs="Open Sans"/>
                      <w:noProof/>
                      <w:color w:val="717A8A"/>
                    </w:rPr>
                    <mc:AlternateContent>
                      <mc:Choice Requires="wps">
                        <w:drawing>
                          <wp:inline distT="0" distB="0" distL="0" distR="0" wp14:anchorId="4424B35E" wp14:editId="022CE5D7">
                            <wp:extent cx="1390650" cy="460375"/>
                            <wp:effectExtent l="9525" t="9525" r="0" b="6350"/>
                            <wp:docPr id="1435354625" name="Rectangle: Rounded Corners 1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60375"/>
                                    </a:xfrm>
                                    <a:prstGeom prst="roundRect">
                                      <a:avLst>
                                        <a:gd name="adj" fmla="val 9000"/>
                                      </a:avLst>
                                    </a:prstGeom>
                                    <a:solidFill>
                                      <a:srgbClr val="007A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E1045E" w14:textId="77777777" w:rsidR="00C73018" w:rsidRDefault="00C73018" w:rsidP="00C73018">
                                        <w:pPr>
                                          <w:spacing w:line="360" w:lineRule="exact"/>
                                          <w:jc w:val="center"/>
                                          <w:rPr>
                                            <w:rFonts w:ascii="Open Sans" w:eastAsia="Times New Roman" w:hAnsi="Open Sans" w:cs="Open Sans"/>
                                            <w:b/>
                                            <w:bCs/>
                                            <w:color w:val="FFFFFF"/>
                                            <w:position w:val="2"/>
                                            <w:sz w:val="21"/>
                                            <w:szCs w:val="21"/>
                                          </w:rPr>
                                        </w:pPr>
                                        <w:r>
                                          <w:rPr>
                                            <w:rFonts w:ascii="Open Sans" w:eastAsia="Times New Roman" w:hAnsi="Open Sans" w:cs="Open Sans"/>
                                            <w:b/>
                                            <w:bCs/>
                                            <w:color w:val="FFFFFF"/>
                                            <w:position w:val="2"/>
                                            <w:sz w:val="21"/>
                                            <w:szCs w:val="21"/>
                                          </w:rPr>
                                          <w:t>Have your say</w:t>
                                        </w:r>
                                      </w:p>
                                    </w:txbxContent>
                                  </wps:txbx>
                                  <wps:bodyPr rot="0" vert="horz" wrap="square" lIns="0" tIns="104775" rIns="0" bIns="104775" anchor="t" anchorCtr="0" upright="1">
                                    <a:spAutoFit/>
                                  </wps:bodyPr>
                                </wps:wsp>
                              </a:graphicData>
                            </a:graphic>
                          </wp:inline>
                        </w:drawing>
                      </mc:Choice>
                      <mc:Fallback>
                        <w:pict>
                          <v:roundrect w14:anchorId="4424B35E" id="Rectangle: Rounded Corners 10" o:spid="_x0000_s1026" href="https://tmbc.cmail19.com/t/y-l-atrakt-dyihtijrdu-y/" style="width:109.5pt;height:36.25pt;visibility:visible;mso-wrap-style:square;mso-left-percent:-10001;mso-top-percent:-10001;mso-position-horizontal:absolute;mso-position-horizontal-relative:char;mso-position-vertical:absolute;mso-position-vertical-relative:line;mso-left-percent:-10001;mso-top-percent:-10001;v-text-anchor:top" arcsize="5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" o:button="t" fillcolor="#007a3e" stroked="f">
                            <v:fill o:detectmouseclick="t"/>
                            <v:textbox style="mso-fit-shape-to-text:t" inset="0,8.25pt,0,8.25pt">
                              <w:txbxContent>
                                <w:p w14:paraId="53E1045E" w14:textId="77777777" w:rsidR="00C73018" w:rsidRDefault="00C73018" w:rsidP="00C73018">
                                  <w:pPr>
                                    <w:spacing w:line="360" w:lineRule="exact"/>
                                    <w:jc w:val="center"/>
                                    <w:rPr>
                                      <w:rFonts w:ascii="Open Sans" w:eastAsia="Times New Roman" w:hAnsi="Open Sans" w:cs="Open Sans"/>
                                      <w:b/>
                                      <w:bCs/>
                                      <w:color w:val="FFFFFF"/>
                                      <w:position w:val="2"/>
                                      <w:sz w:val="21"/>
                                      <w:szCs w:val="21"/>
                                    </w:rPr>
                                  </w:pPr>
                                  <w:r>
                                    <w:rPr>
                                      <w:rFonts w:ascii="Open Sans" w:eastAsia="Times New Roman" w:hAnsi="Open Sans" w:cs="Open Sans"/>
                                      <w:b/>
                                      <w:bCs/>
                                      <w:color w:val="FFFFFF"/>
                                      <w:position w:val="2"/>
                                      <w:sz w:val="21"/>
                                      <w:szCs w:val="21"/>
                                    </w:rPr>
                                    <w:t>Have your say</w:t>
                                  </w:r>
                                </w:p>
                              </w:txbxContent>
                            </v:textbox>
                            <w10:anchorlock/>
                          </v:roundrect>
                        </w:pict>
                      </mc:Fallback>
                    </mc:AlternateContent>
                  </w:r>
                </w:p>
              </w:tc>
              <w:tc>
                <w:tcPr>
                  <w:tcW w:w="15" w:type="dxa"/>
                  <w:tcBorders>
                    <w:top w:val="single" w:sz="6" w:space="0" w:color="CCCCCC"/>
                    <w:left w:val="nil"/>
                    <w:bottom w:val="single" w:sz="6" w:space="0" w:color="CCCCCC"/>
                    <w:right w:val="nil"/>
                  </w:tcBorders>
                  <w:shd w:val="clear" w:color="auto" w:fill="CCCCCC"/>
                  <w:vAlign w:val="center"/>
                  <w:hideMark/>
                </w:tcPr>
                <w:p w14:paraId="4628AF94" w14:textId="77777777" w:rsidR="00C73018" w:rsidRDefault="00C73018">
                  <w:pPr>
                    <w:rPr>
                      <w:rFonts w:eastAsia="Times New Roman"/>
                    </w:rPr>
                  </w:pPr>
                  <w:r>
                    <w:rPr>
                      <w:rFonts w:ascii="Arial" w:eastAsia="Times New Roman" w:hAnsi="Arial" w:cs="Arial"/>
                    </w:rPr>
                    <w:lastRenderedPageBreak/>
                    <w:t>​</w:t>
                  </w:r>
                </w:p>
              </w:tc>
            </w:tr>
          </w:tbl>
          <w:p w14:paraId="57D5B775" w14:textId="77777777" w:rsidR="00C73018" w:rsidRDefault="00C73018">
            <w:pPr>
              <w:jc w:val="center"/>
              <w:rPr>
                <w:rFonts w:ascii="Times New Roman" w:eastAsia="Times New Roman" w:hAnsi="Times New Roman" w:cs="Times New Roman"/>
                <w:vanish/>
                <w:sz w:val="20"/>
                <w:szCs w:val="20"/>
              </w:rPr>
            </w:pPr>
          </w:p>
          <w:p w14:paraId="252899CA" w14:textId="77777777" w:rsidR="00C73018" w:rsidRDefault="00C73018">
            <w:pPr>
              <w:rPr>
                <w:rFonts w:ascii="Times New Roman" w:eastAsia="Times New Roman" w:hAnsi="Times New Roman" w:cs="Times New Roman"/>
                <w:sz w:val="20"/>
                <w:szCs w:val="20"/>
              </w:rPr>
            </w:pPr>
          </w:p>
        </w:tc>
      </w:tr>
    </w:tbl>
    <w:p w14:paraId="46E05E97" w14:textId="77777777" w:rsidR="00841B5C" w:rsidRDefault="00841B5C" w:rsidP="00C73018"/>
    <w:sectPr w:rsidR="00841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3004"/>
    <w:multiLevelType w:val="multilevel"/>
    <w:tmpl w:val="8676E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02052C"/>
    <w:multiLevelType w:val="multilevel"/>
    <w:tmpl w:val="52F8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5564590">
    <w:abstractNumId w:val="1"/>
    <w:lvlOverride w:ilvl="0"/>
    <w:lvlOverride w:ilvl="1"/>
    <w:lvlOverride w:ilvl="2"/>
    <w:lvlOverride w:ilvl="3"/>
    <w:lvlOverride w:ilvl="4"/>
    <w:lvlOverride w:ilvl="5"/>
    <w:lvlOverride w:ilvl="6"/>
    <w:lvlOverride w:ilvl="7"/>
    <w:lvlOverride w:ilvl="8"/>
  </w:num>
  <w:num w:numId="2" w16cid:durableId="19330111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18"/>
    <w:rsid w:val="000C3CA9"/>
    <w:rsid w:val="003E4A48"/>
    <w:rsid w:val="00812CDE"/>
    <w:rsid w:val="00841B5C"/>
    <w:rsid w:val="00C73018"/>
    <w:rsid w:val="00F43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AE3A"/>
  <w15:chartTrackingRefBased/>
  <w15:docId w15:val="{C0C2984A-6403-4443-811A-50EC37EE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1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C73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0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0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0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0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018"/>
    <w:rPr>
      <w:rFonts w:eastAsiaTheme="majorEastAsia" w:cstheme="majorBidi"/>
      <w:color w:val="272727" w:themeColor="text1" w:themeTint="D8"/>
    </w:rPr>
  </w:style>
  <w:style w:type="paragraph" w:styleId="Title">
    <w:name w:val="Title"/>
    <w:basedOn w:val="Normal"/>
    <w:next w:val="Normal"/>
    <w:link w:val="TitleChar"/>
    <w:uiPriority w:val="10"/>
    <w:qFormat/>
    <w:rsid w:val="00C730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018"/>
    <w:pPr>
      <w:spacing w:before="160"/>
      <w:jc w:val="center"/>
    </w:pPr>
    <w:rPr>
      <w:i/>
      <w:iCs/>
      <w:color w:val="404040" w:themeColor="text1" w:themeTint="BF"/>
    </w:rPr>
  </w:style>
  <w:style w:type="character" w:customStyle="1" w:styleId="QuoteChar">
    <w:name w:val="Quote Char"/>
    <w:basedOn w:val="DefaultParagraphFont"/>
    <w:link w:val="Quote"/>
    <w:uiPriority w:val="29"/>
    <w:rsid w:val="00C73018"/>
    <w:rPr>
      <w:i/>
      <w:iCs/>
      <w:color w:val="404040" w:themeColor="text1" w:themeTint="BF"/>
    </w:rPr>
  </w:style>
  <w:style w:type="paragraph" w:styleId="ListParagraph">
    <w:name w:val="List Paragraph"/>
    <w:basedOn w:val="Normal"/>
    <w:uiPriority w:val="34"/>
    <w:qFormat/>
    <w:rsid w:val="00C73018"/>
    <w:pPr>
      <w:ind w:left="720"/>
      <w:contextualSpacing/>
    </w:pPr>
  </w:style>
  <w:style w:type="character" w:styleId="IntenseEmphasis">
    <w:name w:val="Intense Emphasis"/>
    <w:basedOn w:val="DefaultParagraphFont"/>
    <w:uiPriority w:val="21"/>
    <w:qFormat/>
    <w:rsid w:val="00C73018"/>
    <w:rPr>
      <w:i/>
      <w:iCs/>
      <w:color w:val="0F4761" w:themeColor="accent1" w:themeShade="BF"/>
    </w:rPr>
  </w:style>
  <w:style w:type="paragraph" w:styleId="IntenseQuote">
    <w:name w:val="Intense Quote"/>
    <w:basedOn w:val="Normal"/>
    <w:next w:val="Normal"/>
    <w:link w:val="IntenseQuoteChar"/>
    <w:uiPriority w:val="30"/>
    <w:qFormat/>
    <w:rsid w:val="00C73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018"/>
    <w:rPr>
      <w:i/>
      <w:iCs/>
      <w:color w:val="0F4761" w:themeColor="accent1" w:themeShade="BF"/>
    </w:rPr>
  </w:style>
  <w:style w:type="character" w:styleId="IntenseReference">
    <w:name w:val="Intense Reference"/>
    <w:basedOn w:val="DefaultParagraphFont"/>
    <w:uiPriority w:val="32"/>
    <w:qFormat/>
    <w:rsid w:val="00C73018"/>
    <w:rPr>
      <w:b/>
      <w:bCs/>
      <w:smallCaps/>
      <w:color w:val="0F4761" w:themeColor="accent1" w:themeShade="BF"/>
      <w:spacing w:val="5"/>
    </w:rPr>
  </w:style>
  <w:style w:type="character" w:styleId="Hyperlink">
    <w:name w:val="Hyperlink"/>
    <w:basedOn w:val="DefaultParagraphFont"/>
    <w:uiPriority w:val="99"/>
    <w:semiHidden/>
    <w:unhideWhenUsed/>
    <w:rsid w:val="00C73018"/>
    <w:rPr>
      <w:color w:val="0000FF"/>
      <w:u w:val="single"/>
    </w:rPr>
  </w:style>
  <w:style w:type="paragraph" w:styleId="NormalWeb">
    <w:name w:val="Normal (Web)"/>
    <w:basedOn w:val="Normal"/>
    <w:uiPriority w:val="99"/>
    <w:semiHidden/>
    <w:unhideWhenUsed/>
    <w:rsid w:val="00C73018"/>
    <w:pPr>
      <w:spacing w:before="100" w:beforeAutospacing="1" w:after="100" w:afterAutospacing="1"/>
    </w:pPr>
  </w:style>
  <w:style w:type="paragraph" w:customStyle="1" w:styleId="email-flexible-footeradditionalinfo--center">
    <w:name w:val="email-flexible-footer__additionalinfo--center"/>
    <w:basedOn w:val="Normal"/>
    <w:uiPriority w:val="99"/>
    <w:semiHidden/>
    <w:rsid w:val="00C73018"/>
    <w:pPr>
      <w:spacing w:before="100" w:beforeAutospacing="1" w:after="100" w:afterAutospacing="1"/>
    </w:pPr>
  </w:style>
  <w:style w:type="character" w:styleId="Strong">
    <w:name w:val="Strong"/>
    <w:basedOn w:val="DefaultParagraphFont"/>
    <w:uiPriority w:val="22"/>
    <w:qFormat/>
    <w:rsid w:val="00C73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tmbc.cmail19.com/t/y-l-atrakt-dyihtijrdu-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bc.cmail19.com/t/y-l-atrakt-dyihtijrd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3205</Characters>
  <Application>Microsoft Office Word</Application>
  <DocSecurity>0</DocSecurity>
  <Lines>86</Lines>
  <Paragraphs>44</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Saunders</dc:creator>
  <cp:keywords/>
  <dc:description/>
  <cp:lastModifiedBy>Pam Saunders</cp:lastModifiedBy>
  <cp:revision>1</cp:revision>
  <dcterms:created xsi:type="dcterms:W3CDTF">2026-02-19T11:48:00Z</dcterms:created>
  <dcterms:modified xsi:type="dcterms:W3CDTF">2026-02-19T11:51:00Z</dcterms:modified>
</cp:coreProperties>
</file>